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E278F7" w:rsidTr="00E278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78F7" w:rsidRDefault="00E278F7">
            <w:pPr>
              <w:spacing w:line="2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7625080" cy="1193165"/>
                  <wp:effectExtent l="0" t="0" r="0" b="6985"/>
                  <wp:docPr id="56" name="Picture 56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0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8F7" w:rsidRDefault="00E278F7">
            <w:pPr>
              <w:pStyle w:val="NormalWeb"/>
              <w:spacing w:before="240" w:beforeAutospacing="0" w:line="336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MTO 13.2 Examples: Buchler, Reconsidering Klumpenhouwer Networks</w:t>
            </w:r>
          </w:p>
          <w:p w:rsidR="00E278F7" w:rsidRDefault="00E278F7">
            <w:pPr>
              <w:pStyle w:val="NormalWeb"/>
              <w:spacing w:before="240" w:beforeAutospacing="0" w:line="336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(Note: audio, video, and other interactive examples are only available online)</w:t>
            </w:r>
            <w:r>
              <w:rPr>
                <w:rFonts w:ascii="Garamond" w:hAnsi="Garamond"/>
                <w:color w:val="000000"/>
              </w:rPr>
              <w:br/>
            </w:r>
            <w:hyperlink r:id="rId8" w:history="1">
              <w:r>
                <w:rPr>
                  <w:rStyle w:val="Hyperlink"/>
                  <w:rFonts w:ascii="Garamond" w:hAnsi="Garamond"/>
                  <w:u w:val="none"/>
                </w:rPr>
                <w:t>http://www.mtosmt.org/issues/mto.07.13.2/mto.07.13.2.buchler.php</w:t>
              </w:r>
            </w:hyperlink>
          </w:p>
        </w:tc>
      </w:tr>
    </w:tbl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Figure 1.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A network of nodes and arrows</w:t>
      </w:r>
    </w:p>
    <w:p w:rsidR="00E278F7" w:rsidRP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2030095" cy="1658620"/>
            <wp:effectExtent l="0" t="0" r="8255" b="0"/>
            <wp:docPr id="55" name="Picture 55" descr="http://www.mtosmt.org/retrofit/mto.07.13.2/buchler_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tosmt.org/retrofit/mto.07.13.2/buchler_fi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Figure 2.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An abstract four-node K-net model</w:t>
      </w:r>
    </w:p>
    <w:p w:rsidR="00E278F7" w:rsidRP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2092325" cy="1689100"/>
            <wp:effectExtent l="0" t="0" r="3175" b="6350"/>
            <wp:docPr id="54" name="Picture 54" descr="http://www.mtosmt.org/retrofit/mto.07.13.2/buchler_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tosmt.org/retrofit/mto.07.13.2/buchler_fig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Figure 3.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An abstract four-node T-net</w:t>
      </w:r>
    </w:p>
    <w:p w:rsidR="00E278F7" w:rsidRP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2107565" cy="1689100"/>
            <wp:effectExtent l="0" t="0" r="6985" b="6350"/>
            <wp:docPr id="53" name="Picture 53" descr="http://www.mtosmt.org/retrofit/mto.07.13.2/buchler_fi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tosmt.org/retrofit/mto.07.13.2/buchler_fig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Figure 4.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Two four-node I-nets (that are really K-nets)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4881880" cy="2014855"/>
            <wp:effectExtent l="0" t="0" r="0" b="4445"/>
            <wp:docPr id="52" name="Picture 52" descr="http://www.mtosmt.org/retrofit/mto.07.13.2/buchler_fig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tosmt.org/retrofit/mto.07.13.2/buchler_fig4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  <w:t>but implicitly:</w:t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4850765" cy="2077085"/>
            <wp:effectExtent l="0" t="0" r="6985" b="0"/>
            <wp:docPr id="51" name="Picture 51" descr="http://www.mtosmt.org/retrofit/mto.07.13.2/buchler_fig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tosmt.org/retrofit/mto.07.13.2/buchler_fig4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  <w:t>and more clearly:</w:t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4881880" cy="2154555"/>
            <wp:effectExtent l="0" t="0" r="0" b="0"/>
            <wp:docPr id="50" name="Picture 50" descr="http://www.mtosmt.org/retrofit/mto.07.13.2/buchler_fig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tosmt.org/retrofit/mto.07.13.2/buchler_fig4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Figure 5.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Two ways to calculate K-net positive isography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a)</w:t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5052695" cy="1348105"/>
            <wp:effectExtent l="0" t="0" r="0" b="4445"/>
            <wp:docPr id="49" name="Picture 49" descr="http://www.mtosmt.org/retrofit/mto.07.13.2/buchler_fig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tosmt.org/retrofit/mto.07.13.2/buchler_fig5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  <w:t>b)</w:t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4897755" cy="2092325"/>
            <wp:effectExtent l="0" t="0" r="0" b="3175"/>
            <wp:docPr id="48" name="Picture 48" descr="http://www.mtosmt.org/retrofit/mto.07.13.2/buchler_fig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tosmt.org/retrofit/mto.07.13.2/buchler_fig5b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  <w:t>5a shows the regular way to arrive at &lt;T</w:t>
      </w:r>
      <w:r>
        <w:rPr>
          <w:rFonts w:ascii="Garamond" w:hAnsi="Garamond"/>
          <w:color w:val="000000"/>
          <w:vertAlign w:val="subscript"/>
        </w:rPr>
        <w:t>2</w:t>
      </w:r>
      <w:r>
        <w:rPr>
          <w:rFonts w:ascii="Garamond" w:hAnsi="Garamond"/>
          <w:color w:val="000000"/>
        </w:rPr>
        <w:t>&gt;; 5b reconfigures the pair,</w:t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color w:val="000000"/>
        </w:rPr>
        <w:br/>
        <w:t>demonstrating the dual transformational path to &lt;T</w:t>
      </w:r>
      <w:r>
        <w:rPr>
          <w:rFonts w:ascii="Garamond" w:hAnsi="Garamond"/>
          <w:color w:val="000000"/>
          <w:vertAlign w:val="subscript"/>
        </w:rPr>
        <w:t>2</w:t>
      </w:r>
      <w:r>
        <w:rPr>
          <w:rFonts w:ascii="Garamond" w:hAnsi="Garamond"/>
          <w:color w:val="000000"/>
        </w:rPr>
        <w:t>&gt;</w:t>
      </w:r>
    </w:p>
    <w:p w:rsidR="00E278F7" w:rsidRDefault="00E278F7" w:rsidP="00E278F7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Figure 6.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Two ways to calculate K-net negative isography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a)</w:t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5021580" cy="1379220"/>
            <wp:effectExtent l="0" t="0" r="7620" b="0"/>
            <wp:docPr id="47" name="Picture 47" descr="http://www.mtosmt.org/retrofit/mto.07.13.2/buchler_fig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tosmt.org/retrofit/mto.07.13.2/buchler_fig6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  <w:t>b)</w:t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4850765" cy="2061210"/>
            <wp:effectExtent l="0" t="0" r="6985" b="0"/>
            <wp:docPr id="46" name="Picture 46" descr="http://www.mtosmt.org/retrofit/mto.07.13.2/buchler_fig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tosmt.org/retrofit/mto.07.13.2/buchler_fig6b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Figure 7.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Lewin’s rather large K-net (Figure 1.3 from Lewin 2002)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3750310" cy="2014855"/>
            <wp:effectExtent l="0" t="0" r="2540" b="4445"/>
            <wp:docPr id="45" name="Picture 45" descr="http://www.mtosmt.org/retrofit/mto.07.13.2/buchler_fi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tosmt.org/retrofit/mto.07.13.2/buchler_fig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Figure 8.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One T-set that falls out of Lewin’s rather large K-net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3843655" cy="2138680"/>
            <wp:effectExtent l="0" t="0" r="4445" b="0"/>
            <wp:docPr id="44" name="Picture 44" descr="http://www.mtosmt.org/retrofit/mto.07.13.2/buchler_fi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tosmt.org/retrofit/mto.07.13.2/buchler_fig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Figure 9.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The other T-set that (less obviously) falls out of Lewin’s rather large K-net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4168775" cy="2262505"/>
            <wp:effectExtent l="0" t="0" r="3175" b="4445"/>
            <wp:docPr id="43" name="Picture 43" descr="http://www.mtosmt.org/retrofit/mto.07.13.2/buchler_fi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tosmt.org/retrofit/mto.07.13.2/buchler_fig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  <w:t>(dotted lines signify relationships that are implicit from Lewin’s arrows)</w:t>
      </w:r>
    </w:p>
    <w:p w:rsidR="00E278F7" w:rsidRDefault="00E278F7" w:rsidP="00E278F7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</w:rPr>
        <w:br w:type="page"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Figure 10.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Two simpler displays that more clearly differentiate the two constituent T-sets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5"/>
        <w:gridCol w:w="2235"/>
      </w:tblGrid>
      <w:tr w:rsidR="00E278F7" w:rsidTr="00E278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78F7" w:rsidRDefault="00E278F7">
            <w:pPr>
              <w:spacing w:line="336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  </w:t>
            </w:r>
          </w:p>
        </w:tc>
        <w:tc>
          <w:tcPr>
            <w:tcW w:w="2190" w:type="dxa"/>
            <w:vAlign w:val="center"/>
            <w:hideMark/>
          </w:tcPr>
          <w:p w:rsidR="00E278F7" w:rsidRDefault="00E278F7">
            <w:pPr>
              <w:spacing w:line="336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</w:p>
        </w:tc>
      </w:tr>
    </w:tbl>
    <w:p w:rsidR="00E278F7" w:rsidRDefault="00E278F7" w:rsidP="00E278F7">
      <w:pPr>
        <w:spacing w:line="240" w:lineRule="auto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858000" cy="1307799"/>
            <wp:effectExtent l="0" t="0" r="0" b="6985"/>
            <wp:docPr id="42" name="Picture 42" descr="http://www.mtosmt.org/retrofit/mto.07.13.2/buchler_fi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tosmt.org/retrofit/mto.07.13.2/buchler_fig1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0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Figure 11.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Two abstractions, representing all possible K-nets that are positively isographic to Lewin’s rather large K-net</w:t>
      </w:r>
    </w:p>
    <w:tbl>
      <w:tblPr>
        <w:tblW w:w="8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5"/>
        <w:gridCol w:w="2085"/>
      </w:tblGrid>
      <w:tr w:rsidR="00E278F7" w:rsidTr="00E278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78F7" w:rsidRDefault="00E278F7">
            <w:pPr>
              <w:spacing w:line="336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   a)  </w:t>
            </w:r>
          </w:p>
        </w:tc>
        <w:tc>
          <w:tcPr>
            <w:tcW w:w="2040" w:type="dxa"/>
            <w:vAlign w:val="center"/>
            <w:hideMark/>
          </w:tcPr>
          <w:p w:rsidR="00E278F7" w:rsidRDefault="00E278F7">
            <w:pPr>
              <w:spacing w:line="336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</w:p>
        </w:tc>
      </w:tr>
    </w:tbl>
    <w:p w:rsidR="00E278F7" w:rsidRDefault="00E278F7" w:rsidP="00E278F7">
      <w:pPr>
        <w:spacing w:line="240" w:lineRule="auto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5052695" cy="1270635"/>
            <wp:effectExtent l="0" t="0" r="0" b="5715"/>
            <wp:docPr id="41" name="Picture 41" descr="http://www.mtosmt.org/retrofit/mto.07.13.2/buchler_fi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tosmt.org/retrofit/mto.07.13.2/buchler_fig1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Figure 12.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Two progressions that feature &lt;T</w:t>
      </w:r>
      <w:r>
        <w:rPr>
          <w:rFonts w:ascii="Garamond" w:hAnsi="Garamond"/>
          <w:color w:val="000000"/>
          <w:vertAlign w:val="subscript"/>
        </w:rPr>
        <w:t>0</w:t>
      </w:r>
      <w:r>
        <w:rPr>
          <w:rFonts w:ascii="Garamond" w:hAnsi="Garamond"/>
          <w:color w:val="000000"/>
        </w:rPr>
        <w:t>&gt; relations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a)</w:t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5594985" cy="1968500"/>
            <wp:effectExtent l="0" t="0" r="5715" b="0"/>
            <wp:docPr id="40" name="Picture 40" descr="http://www.mtosmt.org/retrofit/mto.07.13.2/buchler_fig1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tosmt.org/retrofit/mto.07.13.2/buchler_fig12a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  <w:t>b)</w:t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5563870" cy="1998980"/>
            <wp:effectExtent l="0" t="0" r="0" b="1270"/>
            <wp:docPr id="39" name="Picture 39" descr="http://www.mtosmt.org/retrofit/mto.07.13.2/buchler_fig1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tosmt.org/retrofit/mto.07.13.2/buchler_fig12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Figure 13.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Two progressions that feature &lt;T</w:t>
      </w:r>
      <w:r>
        <w:rPr>
          <w:rFonts w:ascii="Garamond" w:hAnsi="Garamond"/>
          <w:color w:val="000000"/>
          <w:vertAlign w:val="subscript"/>
        </w:rPr>
        <w:t>2</w:t>
      </w:r>
      <w:r>
        <w:rPr>
          <w:rFonts w:ascii="Garamond" w:hAnsi="Garamond"/>
          <w:color w:val="000000"/>
        </w:rPr>
        <w:t>&gt; relations</w:t>
      </w:r>
    </w:p>
    <w:p w:rsidR="00E278F7" w:rsidRDefault="00E278F7" w:rsidP="00E278F7">
      <w:pPr>
        <w:spacing w:after="24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a)</w:t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5579110" cy="1937385"/>
            <wp:effectExtent l="0" t="0" r="2540" b="5715"/>
            <wp:docPr id="38" name="Picture 38" descr="http://www.mtosmt.org/retrofit/mto.07.13.2/buchler_fig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tosmt.org/retrofit/mto.07.13.2/buchler_fig13a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  <w:t>b)</w:t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5563870" cy="1906270"/>
            <wp:effectExtent l="0" t="0" r="0" b="0"/>
            <wp:docPr id="37" name="Picture 37" descr="http://www.mtosmt.org/retrofit/mto.07.13.2/buchler_fig1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tosmt.org/retrofit/mto.07.13.2/buchler_fig13b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spacing w:after="0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Figure 14.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Lutoslawski, Symphony No. 4, Rehearsal 92, vc. (tutti)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858000" cy="1296441"/>
            <wp:effectExtent l="0" t="0" r="0" b="0"/>
            <wp:docPr id="36" name="Picture 36" descr="http://www.mtosmt.org/retrofit/mto.07.13.2/buchler_fi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tosmt.org/retrofit/mto.07.13.2/buchler_fig1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9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Figure 15.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K-net interpretations of the passage from Figure 14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013450" cy="2092325"/>
            <wp:effectExtent l="0" t="0" r="6350" b="3175"/>
            <wp:docPr id="35" name="Picture 35" descr="http://www.mtosmt.org/retrofit/mto.07.13.2/buchler_fi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tosmt.org/retrofit/mto.07.13.2/buchler_fig1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Figure 16.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Trichordal and dyadic set classes that cannot be strong, positively, or negatively isographic with each other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858000" cy="2778284"/>
            <wp:effectExtent l="0" t="0" r="0" b="3175"/>
            <wp:docPr id="34" name="Picture 34" descr="http://www.mtosmt.org/retrofit/mto.07.13.2/buchler_fi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tosmt.org/retrofit/mto.07.13.2/buchler_fig1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br/>
        <w:t>(the shaded region duplicates Stoecker 2002, Example 2)</w:t>
      </w:r>
    </w:p>
    <w:p w:rsidR="00E278F7" w:rsidRDefault="00E278F7" w:rsidP="00E278F7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Figure 17.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Two four-node K-net types (box and umbrella)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664325" cy="1720215"/>
            <wp:effectExtent l="0" t="0" r="3175" b="0"/>
            <wp:docPr id="33" name="Picture 33" descr="http://www.mtosmt.org/retrofit/mto.07.13.2/buchler_fi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tosmt.org/retrofit/mto.07.13.2/buchler_fig17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Figure 18.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Dizzy Gillespie, “A Night in Tunisia,” opening gesture split into two four-note segments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4448175" cy="1255395"/>
            <wp:effectExtent l="0" t="0" r="9525" b="1905"/>
            <wp:docPr id="32" name="Picture 32" descr="http://www.mtosmt.org/retrofit/mto.07.13.2/buchler_fi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tosmt.org/retrofit/mto.07.13.2/buchler_fig1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Figure 19.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Three ways to split α 4-14 {B</w:t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62230" cy="154940"/>
            <wp:effectExtent l="0" t="0" r="0" b="0"/>
            <wp:docPr id="31" name="Picture 31" descr="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lat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t>,C,D</w:t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62230" cy="154940"/>
            <wp:effectExtent l="0" t="0" r="0" b="0"/>
            <wp:docPr id="30" name="Picture 30" descr="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lat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t>,F}([0237]) and β 4-4 {F,G</w:t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62230" cy="154940"/>
            <wp:effectExtent l="0" t="0" r="0" b="0"/>
            <wp:docPr id="29" name="Picture 29" descr="sh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harp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t>,A,B</w:t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62230" cy="154940"/>
            <wp:effectExtent l="0" t="0" r="0" b="0"/>
            <wp:docPr id="28" name="Picture 28" descr="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lat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t>}([0125]) into the same pairs of constituent set classes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3331845" cy="2820670"/>
            <wp:effectExtent l="0" t="0" r="1905" b="0"/>
            <wp:docPr id="27" name="Picture 27" descr="http://www.mtosmt.org/retrofit/mto.07.13.2/buchler_fi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tosmt.org/retrofit/mto.07.13.2/buchler_fig19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Figure 20.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{B</w:t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62230" cy="154940"/>
            <wp:effectExtent l="0" t="0" r="0" b="0"/>
            <wp:docPr id="26" name="Picture 26" descr="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lat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t>,C,D</w:t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62230" cy="154940"/>
            <wp:effectExtent l="0" t="0" r="0" b="0"/>
            <wp:docPr id="25" name="Picture 25" descr="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lat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t>,F} and β {F,G</w:t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62230" cy="154940"/>
            <wp:effectExtent l="0" t="0" r="0" b="0"/>
            <wp:docPr id="24" name="Picture 24" descr="sh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harp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t>,A,B</w:t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62230" cy="154940"/>
            <wp:effectExtent l="0" t="0" r="0" b="0"/>
            <wp:docPr id="23" name="Picture 23" descr="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lat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t>} cast as five isographic pairs of K-nets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927850" cy="5873750"/>
            <wp:effectExtent l="0" t="0" r="6350" b="0"/>
            <wp:docPr id="22" name="Picture 22" descr="http://www.mtosmt.org/retrofit/mto.07.13.2/buchler_fi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tosmt.org/retrofit/mto.07.13.2/buchler_fig2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587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Figure 21.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The opening twelve notes of Webern, opus 23, mvt. 3, segmented into trichords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5005705" cy="3549015"/>
            <wp:effectExtent l="0" t="0" r="4445" b="0"/>
            <wp:docPr id="21" name="Picture 21" descr="http://www.mtosmt.org/retrofit/mto.07.13.2/buchler_fi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tosmt.org/retrofit/mto.07.13.2/buchler_fig21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Figure 22.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Six network interpretations of the first trichord (J1 in Figure 20)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5052695" cy="3084195"/>
            <wp:effectExtent l="0" t="0" r="0" b="1905"/>
            <wp:docPr id="20" name="Picture 20" descr="http://www.mtosmt.org/retrofit/mto.07.13.2/buchler_fi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tosmt.org/retrofit/mto.07.13.2/buchler_fig22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Figure 23.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One depiction of positive isography among the trichords J1–J4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5920105" cy="1518920"/>
            <wp:effectExtent l="0" t="0" r="4445" b="5080"/>
            <wp:docPr id="17" name="Picture 17" descr="http://www.mtosmt.org/retrofit/mto.07.13.2/buchler_fi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tosmt.org/retrofit/mto.07.13.2/buchler_fig23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Figure 24.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An example of K-nets that are consistently projected in register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7222490" cy="1891030"/>
            <wp:effectExtent l="0" t="0" r="0" b="0"/>
            <wp:docPr id="16" name="Picture 16" descr="http://www.mtosmt.org/retrofit/mto.07.13.2/buchler_fig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tosmt.org/retrofit/mto.07.13.2/buchler_fig24a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9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4649470" cy="3440430"/>
            <wp:effectExtent l="0" t="0" r="0" b="7620"/>
            <wp:docPr id="12" name="Picture 12" descr="http://www.mtosmt.org/retrofit/mto.07.13.2/buchler_fig2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tosmt.org/retrofit/mto.07.13.2/buchler_fig24b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rPr>
          <w:rFonts w:ascii="Times New Roman" w:hAnsi="Times New Roman"/>
        </w:rPr>
      </w:pP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Figure 25.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Four isographic K-nets (g1′, g2′, g3, g4) combine to form a “hyper-network” or “middleground” K-net structure</w:t>
      </w:r>
    </w:p>
    <w:p w:rsidR="00E278F7" w:rsidRDefault="00E278F7" w:rsidP="00E278F7">
      <w:pPr>
        <w:spacing w:after="24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a) Schoenberg, op. 11, no. 2, four chords excerpted from Lewin's Ex. 9 </w:t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2216150" cy="1766570"/>
            <wp:effectExtent l="0" t="0" r="0" b="5080"/>
            <wp:docPr id="11" name="Picture 11" descr="http://www.mtosmt.org/retrofit/mto.07.13.2/buchler_fig2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tosmt.org/retrofit/mto.07.13.2/buchler_fig25a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  <w:t xml:space="preserve">b) Four network interpretations excerpted from Lewin's Ex. 10 </w:t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5424170" cy="1550035"/>
            <wp:effectExtent l="0" t="0" r="5080" b="0"/>
            <wp:docPr id="10" name="Picture 10" descr="http://www.mtosmt.org/retrofit/mto.07.13.2/buchler_fig2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tosmt.org/retrofit/mto.07.13.2/buchler_fig25b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  <w:t xml:space="preserve">c) Lewin's Ex. 12: interpretations g1 and g2 and their negatively isographic permutations g1' and g2' </w:t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4603115" cy="2680970"/>
            <wp:effectExtent l="0" t="0" r="6985" b="5080"/>
            <wp:docPr id="9" name="Picture 9" descr="http://www.mtosmt.org/retrofit/mto.07.13.2/buchler_fig2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tosmt.org/retrofit/mto.07.13.2/buchler_fig25c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br w:type="page"/>
      </w:r>
    </w:p>
    <w:p w:rsidR="00E278F7" w:rsidRDefault="00E278F7" w:rsidP="00E278F7">
      <w:pPr>
        <w:spacing w:after="24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 xml:space="preserve">d) Network that (recursively) interprets g1', g2', g3, g4, based upon Lewin's Ex. 13 </w:t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1844040" cy="1317625"/>
            <wp:effectExtent l="0" t="0" r="3810" b="0"/>
            <wp:docPr id="8" name="Picture 8" descr="http://www.mtosmt.org/retrofit/mto.07.13.2/buchler_fig2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tosmt.org/retrofit/mto.07.13.2/buchler_fig25d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7" w:rsidRDefault="00E278F7" w:rsidP="00E278F7">
      <w:pPr>
        <w:spacing w:after="0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E278F7" w:rsidRDefault="00E278F7" w:rsidP="00E278F7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Figure 26.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K-nets intended to reflect the musical surface shown in Figure 25a</w:t>
      </w:r>
    </w:p>
    <w:p w:rsidR="00E278F7" w:rsidRDefault="00E278F7" w:rsidP="00E278F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431915" cy="1782445"/>
            <wp:effectExtent l="0" t="0" r="6985" b="8255"/>
            <wp:docPr id="5" name="Picture 5" descr="http://www.mtosmt.org/retrofit/mto.07.13.2/buchler_fig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tosmt.org/retrofit/mto.07.13.2/buchler_fig26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20" w:rsidRPr="00E278F7" w:rsidRDefault="00AB1A20" w:rsidP="00E278F7">
      <w:bookmarkStart w:id="0" w:name="_GoBack"/>
      <w:bookmarkEnd w:id="0"/>
    </w:p>
    <w:sectPr w:rsidR="00AB1A20" w:rsidRPr="00E278F7" w:rsidSect="0076530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A6" w:rsidRDefault="001B29A6" w:rsidP="00D00208">
      <w:pPr>
        <w:spacing w:after="0" w:line="240" w:lineRule="auto"/>
      </w:pPr>
      <w:r>
        <w:separator/>
      </w:r>
    </w:p>
  </w:endnote>
  <w:endnote w:type="continuationSeparator" w:id="0">
    <w:p w:rsidR="001B29A6" w:rsidRDefault="001B29A6" w:rsidP="00D0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A6" w:rsidRDefault="001B29A6" w:rsidP="00D00208">
      <w:pPr>
        <w:spacing w:after="0" w:line="240" w:lineRule="auto"/>
      </w:pPr>
      <w:r>
        <w:separator/>
      </w:r>
    </w:p>
  </w:footnote>
  <w:footnote w:type="continuationSeparator" w:id="0">
    <w:p w:rsidR="001B29A6" w:rsidRDefault="001B29A6" w:rsidP="00D00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262"/>
    <w:multiLevelType w:val="multilevel"/>
    <w:tmpl w:val="E770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B6F66"/>
    <w:multiLevelType w:val="multilevel"/>
    <w:tmpl w:val="CC4C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60527"/>
    <w:multiLevelType w:val="multilevel"/>
    <w:tmpl w:val="8E22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A323B"/>
    <w:multiLevelType w:val="multilevel"/>
    <w:tmpl w:val="77A4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03"/>
    <w:rsid w:val="000146AC"/>
    <w:rsid w:val="00055870"/>
    <w:rsid w:val="00076357"/>
    <w:rsid w:val="000D0FD4"/>
    <w:rsid w:val="000F7021"/>
    <w:rsid w:val="00127C04"/>
    <w:rsid w:val="00136B65"/>
    <w:rsid w:val="00150A2C"/>
    <w:rsid w:val="001737BB"/>
    <w:rsid w:val="00177557"/>
    <w:rsid w:val="00177D0A"/>
    <w:rsid w:val="00182220"/>
    <w:rsid w:val="001B29A6"/>
    <w:rsid w:val="001D4968"/>
    <w:rsid w:val="001E2307"/>
    <w:rsid w:val="001E7D8A"/>
    <w:rsid w:val="002748FA"/>
    <w:rsid w:val="0028436A"/>
    <w:rsid w:val="002B26AE"/>
    <w:rsid w:val="002B4260"/>
    <w:rsid w:val="00301EA7"/>
    <w:rsid w:val="00347F82"/>
    <w:rsid w:val="0038679A"/>
    <w:rsid w:val="0039638B"/>
    <w:rsid w:val="003A7ECD"/>
    <w:rsid w:val="003D1870"/>
    <w:rsid w:val="003E764E"/>
    <w:rsid w:val="0041706B"/>
    <w:rsid w:val="004408CC"/>
    <w:rsid w:val="00480EBA"/>
    <w:rsid w:val="004D58ED"/>
    <w:rsid w:val="004E63BC"/>
    <w:rsid w:val="00507FD8"/>
    <w:rsid w:val="00521031"/>
    <w:rsid w:val="005249B4"/>
    <w:rsid w:val="00545F6F"/>
    <w:rsid w:val="00564A55"/>
    <w:rsid w:val="00592EF5"/>
    <w:rsid w:val="00615F17"/>
    <w:rsid w:val="006324F4"/>
    <w:rsid w:val="006350C7"/>
    <w:rsid w:val="0065715C"/>
    <w:rsid w:val="006764D6"/>
    <w:rsid w:val="006A1352"/>
    <w:rsid w:val="006E3077"/>
    <w:rsid w:val="007123FD"/>
    <w:rsid w:val="00765303"/>
    <w:rsid w:val="007A16A7"/>
    <w:rsid w:val="007B3172"/>
    <w:rsid w:val="00847A93"/>
    <w:rsid w:val="008739CF"/>
    <w:rsid w:val="00880660"/>
    <w:rsid w:val="008959E2"/>
    <w:rsid w:val="008D43F4"/>
    <w:rsid w:val="008D7EDB"/>
    <w:rsid w:val="009B1F41"/>
    <w:rsid w:val="00A068BB"/>
    <w:rsid w:val="00A228C8"/>
    <w:rsid w:val="00A22E06"/>
    <w:rsid w:val="00A43380"/>
    <w:rsid w:val="00A625B9"/>
    <w:rsid w:val="00A6733D"/>
    <w:rsid w:val="00AB1A20"/>
    <w:rsid w:val="00AB2B44"/>
    <w:rsid w:val="00AF18C7"/>
    <w:rsid w:val="00B1499D"/>
    <w:rsid w:val="00B16835"/>
    <w:rsid w:val="00B6685A"/>
    <w:rsid w:val="00BA7B23"/>
    <w:rsid w:val="00BB3432"/>
    <w:rsid w:val="00C12D9E"/>
    <w:rsid w:val="00C24117"/>
    <w:rsid w:val="00C829FA"/>
    <w:rsid w:val="00C92D8F"/>
    <w:rsid w:val="00CA76AB"/>
    <w:rsid w:val="00CB3D8B"/>
    <w:rsid w:val="00CB5B63"/>
    <w:rsid w:val="00CD6CD0"/>
    <w:rsid w:val="00CF08BD"/>
    <w:rsid w:val="00CF1D25"/>
    <w:rsid w:val="00CF2B7A"/>
    <w:rsid w:val="00CF5EE3"/>
    <w:rsid w:val="00D00208"/>
    <w:rsid w:val="00D13250"/>
    <w:rsid w:val="00D1733A"/>
    <w:rsid w:val="00D17D78"/>
    <w:rsid w:val="00D2072B"/>
    <w:rsid w:val="00D22BE7"/>
    <w:rsid w:val="00D37106"/>
    <w:rsid w:val="00D76B48"/>
    <w:rsid w:val="00DC205E"/>
    <w:rsid w:val="00DD2FBD"/>
    <w:rsid w:val="00DF4708"/>
    <w:rsid w:val="00E23C51"/>
    <w:rsid w:val="00E26B7A"/>
    <w:rsid w:val="00E278F7"/>
    <w:rsid w:val="00E7076F"/>
    <w:rsid w:val="00EE1FC0"/>
    <w:rsid w:val="00F1228B"/>
    <w:rsid w:val="00FA600A"/>
    <w:rsid w:val="00F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493A-6F06-4CC3-A8AF-AA6940BF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53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8C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D58ED"/>
  </w:style>
  <w:style w:type="paragraph" w:styleId="Header">
    <w:name w:val="header"/>
    <w:basedOn w:val="Normal"/>
    <w:link w:val="HeaderChar"/>
    <w:uiPriority w:val="99"/>
    <w:unhideWhenUsed/>
    <w:rsid w:val="00D0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08"/>
  </w:style>
  <w:style w:type="paragraph" w:styleId="Footer">
    <w:name w:val="footer"/>
    <w:basedOn w:val="Normal"/>
    <w:link w:val="FooterChar"/>
    <w:uiPriority w:val="99"/>
    <w:unhideWhenUsed/>
    <w:rsid w:val="00D0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31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osmt.org/issues/mto.07.13.2/mto.07.13.2.buchler.php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34" Type="http://schemas.openxmlformats.org/officeDocument/2006/relationships/image" Target="media/image27.png"/><Relationship Id="rId42" Type="http://schemas.openxmlformats.org/officeDocument/2006/relationships/image" Target="media/image35.gif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png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image" Target="media/image3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464</Words>
  <Characters>2618</Characters>
  <Application>Microsoft Office Word</Application>
  <DocSecurity>0</DocSecurity>
  <Lines>163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dcterms:created xsi:type="dcterms:W3CDTF">2016-04-24T04:45:00Z</dcterms:created>
  <dcterms:modified xsi:type="dcterms:W3CDTF">2016-04-24T04:45:00Z</dcterms:modified>
</cp:coreProperties>
</file>